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8F" w:rsidRDefault="0012786A">
      <w:pPr>
        <w:pStyle w:val="Standard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spacing w:val="8"/>
          <w:kern w:val="0"/>
          <w:sz w:val="32"/>
          <w:szCs w:val="32"/>
        </w:rPr>
        <w:t>教育部國民小學</w:t>
      </w:r>
      <w:proofErr w:type="gramStart"/>
      <w:r>
        <w:rPr>
          <w:rFonts w:ascii="Times New Roman" w:eastAsia="標楷體" w:hAnsi="Times New Roman" w:cs="Times New Roman"/>
          <w:b/>
          <w:spacing w:val="8"/>
          <w:kern w:val="0"/>
          <w:sz w:val="32"/>
          <w:szCs w:val="32"/>
        </w:rPr>
        <w:t>師資培用聯盟</w:t>
      </w:r>
      <w:proofErr w:type="gramEnd"/>
      <w:r>
        <w:rPr>
          <w:rFonts w:ascii="Times New Roman" w:eastAsia="標楷體" w:hAnsi="Times New Roman" w:cs="Times New Roman"/>
          <w:b/>
          <w:spacing w:val="8"/>
          <w:kern w:val="0"/>
          <w:sz w:val="32"/>
          <w:szCs w:val="32"/>
        </w:rPr>
        <w:t>自然與生活科技學習領域教學中</w:t>
      </w:r>
      <w:r>
        <w:rPr>
          <w:rFonts w:ascii="Times New Roman" w:eastAsia="標楷體" w:hAnsi="Times New Roman" w:cs="Times New Roman"/>
          <w:b/>
          <w:spacing w:val="19"/>
          <w:kern w:val="0"/>
          <w:sz w:val="32"/>
          <w:szCs w:val="32"/>
        </w:rPr>
        <w:t>心</w:t>
      </w:r>
    </w:p>
    <w:p w:rsidR="0031608F" w:rsidRDefault="0012786A">
      <w:pPr>
        <w:pStyle w:val="Standard"/>
        <w:jc w:val="center"/>
      </w:pP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105</w:t>
      </w: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年教師專業成長活動：「從票選</w:t>
      </w:r>
      <w:proofErr w:type="gramStart"/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基隆市蝶談蝴蝶</w:t>
      </w:r>
      <w:proofErr w:type="gramEnd"/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生態校園」工作坊</w:t>
      </w:r>
    </w:p>
    <w:p w:rsidR="0031608F" w:rsidRDefault="0012786A">
      <w:pPr>
        <w:pStyle w:val="Standard"/>
        <w:widowControl/>
        <w:spacing w:after="180" w:line="480" w:lineRule="exact"/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壹、依據</w:t>
      </w:r>
    </w:p>
    <w:p w:rsidR="0031608F" w:rsidRDefault="0012786A">
      <w:pPr>
        <w:pStyle w:val="Standard"/>
        <w:widowControl/>
        <w:spacing w:after="180" w:line="480" w:lineRule="exact"/>
        <w:ind w:firstLine="48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依據教育部《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105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學年度「教育部國民小學師資培用聯盟」自然與生活科技學習領域教學中心計畫》實施。</w:t>
      </w:r>
    </w:p>
    <w:p w:rsidR="0031608F" w:rsidRDefault="0012786A">
      <w:pPr>
        <w:pStyle w:val="Standard"/>
        <w:widowControl/>
        <w:spacing w:after="180" w:line="480" w:lineRule="exact"/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貳、緣起</w:t>
      </w:r>
    </w:p>
    <w:p w:rsidR="0031608F" w:rsidRDefault="0012786A">
      <w:pPr>
        <w:pStyle w:val="Default"/>
        <w:spacing w:line="480" w:lineRule="exact"/>
        <w:ind w:firstLine="560"/>
        <w:jc w:val="both"/>
      </w:pPr>
      <w:r>
        <w:rPr>
          <w:rFonts w:ascii="Times New Roman" w:eastAsia="標楷體" w:hAnsi="Times New Roman" w:cs="Times New Roman"/>
          <w:color w:val="00000A"/>
          <w:sz w:val="28"/>
          <w:szCs w:val="28"/>
        </w:rPr>
        <w:t>生態校園，除了是綠化美化校園的第一步，並且可打造一個適當的環境教育學習環境。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但綠美化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的校園，除了花草外，應該還要包容許多的生物多樣性元素，才能健全整個生態校園。因此，本計畫希望結合國民小學自然領域課程中植物、昆蟲、生態與環境等議題，了解昆蟲、蝴蝶等和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食草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關連，並可於未來從中發展出各校園之特色，以此達到學之以用的生態校園實質意義。本計畫以「從票選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基隆市蝶談蝴蝶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生態校園」師資培育為主題，即在自然領域課程中融入「打造蝴蝶生態校園」內容；內容包含：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1.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蝴蝶和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食草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的關係，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2.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蝴蝶的生活習性，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3.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蝴蝶的觀察和記錄，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4.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透過票選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基隆市市蝶活動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發展環境教育特色案例分享，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5.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校園蝴蝶紀錄觀察。</w:t>
      </w:r>
    </w:p>
    <w:p w:rsidR="0031608F" w:rsidRDefault="0012786A">
      <w:pPr>
        <w:pStyle w:val="Default"/>
        <w:spacing w:line="480" w:lineRule="exact"/>
        <w:ind w:firstLine="560"/>
      </w:pPr>
      <w:r>
        <w:rPr>
          <w:rFonts w:ascii="Times New Roman" w:eastAsia="標楷體" w:hAnsi="Times New Roman" w:cs="Times New Roman"/>
          <w:color w:val="00000A"/>
          <w:sz w:val="28"/>
          <w:szCs w:val="28"/>
        </w:rPr>
        <w:t>本計畫以「</w:t>
      </w:r>
      <w:r>
        <w:rPr>
          <w:rFonts w:ascii="Times New Roman" w:eastAsia="標楷體" w:hAnsi="Times New Roman" w:cs="Times New Roman"/>
          <w:b/>
          <w:color w:val="00000A"/>
          <w:sz w:val="28"/>
          <w:szCs w:val="28"/>
        </w:rPr>
        <w:t>工作坊」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型態呈現，說明國民小學自然與生活科技課程與校園實務的可能結合，以後並可透過打造</w:t>
      </w:r>
      <w:r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蝴蝶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生態校園的模式</w:t>
      </w:r>
      <w:r>
        <w:rPr>
          <w:rFonts w:ascii="Times New Roman" w:eastAsia="標楷體" w:hAnsi="Times New Roman" w:cs="Times New Roman"/>
          <w:b/>
          <w:color w:val="00000A"/>
          <w:sz w:val="28"/>
          <w:szCs w:val="28"/>
        </w:rPr>
        <w:t>，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吸引並幫助中小學學生學習，並可引導學生的概念學習，除強化本校自然科學教育系所師資生、國小在職教師培養教學實作的教學學科知識外，並利用教育現場體驗，行動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參與式的學習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，以協助、促發本系師資生、在職教師教學內容知識之提升，減少十二年國教的教育理論與教育實務之落差，將「探究與實作」應用於實際教學中，並使國小在職教師能由實際教學中對教學理論加以驗證與反思。</w:t>
      </w:r>
    </w:p>
    <w:p w:rsidR="0031608F" w:rsidRDefault="0031608F">
      <w:pPr>
        <w:pStyle w:val="Default"/>
        <w:spacing w:line="480" w:lineRule="exact"/>
        <w:ind w:firstLine="560"/>
        <w:rPr>
          <w:rFonts w:ascii="Times New Roman" w:eastAsia="標楷體" w:hAnsi="Times New Roman" w:cs="Times New Roman"/>
          <w:color w:val="00000A"/>
          <w:sz w:val="28"/>
          <w:szCs w:val="28"/>
        </w:rPr>
      </w:pPr>
    </w:p>
    <w:p w:rsidR="0031608F" w:rsidRDefault="0012786A">
      <w:pPr>
        <w:pStyle w:val="Standard"/>
        <w:widowControl/>
        <w:spacing w:after="180" w:line="480" w:lineRule="exact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參、實施目標</w:t>
      </w:r>
    </w:p>
    <w:p w:rsidR="0031608F" w:rsidRDefault="0012786A">
      <w:pPr>
        <w:pStyle w:val="Standard"/>
        <w:spacing w:line="480" w:lineRule="exact"/>
        <w:ind w:firstLine="56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本計畫旨在訓練全國各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大專院校師培生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與國小在職教師關於「蝴蝶生態校園」和「環境教育」的知能與技能培養，藉由「從票選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基隆市蝶談蝴蝶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生態校</w:t>
      </w:r>
      <w:r>
        <w:rPr>
          <w:rFonts w:ascii="Times New Roman" w:eastAsia="標楷體" w:hAnsi="Times New Roman" w:cs="Times New Roman"/>
          <w:sz w:val="28"/>
          <w:szCs w:val="28"/>
        </w:rPr>
        <w:lastRenderedPageBreak/>
        <w:t>園」案例進行教學實作，結合相關課程單元，未來並可實作打造出屬於各校的特色蝴蝶生態校園。</w:t>
      </w:r>
    </w:p>
    <w:p w:rsidR="0031608F" w:rsidRDefault="0012786A">
      <w:pPr>
        <w:pStyle w:val="Default"/>
        <w:spacing w:line="480" w:lineRule="exact"/>
        <w:ind w:left="826" w:hanging="826"/>
      </w:pPr>
      <w:r>
        <w:rPr>
          <w:rFonts w:ascii="Times New Roman" w:eastAsia="標楷體" w:hAnsi="Times New Roman" w:cs="Times New Roman"/>
          <w:color w:val="00000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能夠了解蝴蝶、</w:t>
      </w:r>
      <w:proofErr w:type="gramStart"/>
      <w:r>
        <w:rPr>
          <w:rFonts w:ascii="Times New Roman" w:eastAsia="標楷體" w:hAnsi="Times New Roman" w:cs="Times New Roman"/>
          <w:color w:val="00000A"/>
          <w:sz w:val="28"/>
          <w:szCs w:val="28"/>
        </w:rPr>
        <w:t>食草與</w:t>
      </w:r>
      <w:proofErr w:type="gramEnd"/>
      <w:r>
        <w:rPr>
          <w:rFonts w:ascii="Times New Roman" w:eastAsia="標楷體" w:hAnsi="Times New Roman" w:cs="Times New Roman"/>
          <w:color w:val="00000A"/>
          <w:sz w:val="28"/>
          <w:szCs w:val="28"/>
        </w:rPr>
        <w:t>環境生態的關連，找到並發展</w:t>
      </w:r>
      <w:r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蝴蝶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生態校園的可能性。</w:t>
      </w:r>
    </w:p>
    <w:p w:rsidR="0031608F" w:rsidRDefault="0012786A">
      <w:pPr>
        <w:pStyle w:val="Default"/>
        <w:spacing w:line="480" w:lineRule="exact"/>
        <w:ind w:left="826" w:hanging="826"/>
      </w:pPr>
      <w:r>
        <w:rPr>
          <w:rFonts w:ascii="Times New Roman" w:eastAsia="標楷體" w:hAnsi="Times New Roman" w:cs="Times New Roman"/>
          <w:color w:val="00000A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二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A"/>
          <w:sz w:val="28"/>
          <w:szCs w:val="28"/>
        </w:rPr>
        <w:t>蝴蝶觀察與紀錄實作，融合相關課程與實作。</w:t>
      </w:r>
    </w:p>
    <w:p w:rsidR="0031608F" w:rsidRDefault="0012786A">
      <w:pPr>
        <w:pStyle w:val="Standard"/>
        <w:spacing w:line="480" w:lineRule="exact"/>
        <w:ind w:left="826" w:hanging="826"/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三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藉由分享票選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基隆市市蝶活動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案例，將之應用於蝴蝶校園特色實作，來提升各校師生對課程和校園之認同感。</w:t>
      </w:r>
    </w:p>
    <w:p w:rsidR="0031608F" w:rsidRDefault="0031608F">
      <w:pPr>
        <w:pStyle w:val="Standard"/>
        <w:spacing w:line="480" w:lineRule="exact"/>
        <w:ind w:left="826" w:hanging="826"/>
        <w:rPr>
          <w:rFonts w:ascii="Times New Roman" w:eastAsia="標楷體" w:hAnsi="Times New Roman" w:cs="Times New Roman"/>
          <w:sz w:val="28"/>
          <w:szCs w:val="28"/>
        </w:rPr>
      </w:pPr>
    </w:p>
    <w:p w:rsidR="0031608F" w:rsidRDefault="0012786A">
      <w:pPr>
        <w:pStyle w:val="Standard"/>
        <w:widowControl/>
        <w:spacing w:after="180" w:line="480" w:lineRule="exact"/>
        <w:jc w:val="both"/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肆、辦理單位</w:t>
      </w:r>
    </w:p>
    <w:p w:rsidR="0031608F" w:rsidRDefault="0012786A">
      <w:pPr>
        <w:pStyle w:val="Standard"/>
        <w:widowControl/>
        <w:spacing w:line="480" w:lineRule="exact"/>
        <w:ind w:left="2408" w:hanging="1928"/>
        <w:jc w:val="both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一、主辦單位：</w:t>
      </w:r>
      <w:proofErr w:type="gramStart"/>
      <w:r>
        <w:rPr>
          <w:rFonts w:ascii="Times New Roman" w:eastAsia="標楷體" w:hAnsi="Times New Roman" w:cs="Times New Roman"/>
          <w:kern w:val="0"/>
          <w:sz w:val="28"/>
          <w:szCs w:val="28"/>
        </w:rPr>
        <w:t>教育部國民小學師培聯盟</w:t>
      </w:r>
      <w:proofErr w:type="gramEnd"/>
      <w:r>
        <w:rPr>
          <w:rFonts w:ascii="Times New Roman" w:eastAsia="標楷體" w:hAnsi="Times New Roman" w:cs="Times New Roman"/>
          <w:kern w:val="0"/>
          <w:sz w:val="28"/>
          <w:szCs w:val="28"/>
        </w:rPr>
        <w:t>自然與生活科技學習領域教學中心</w:t>
      </w:r>
    </w:p>
    <w:p w:rsidR="0031608F" w:rsidRDefault="0012786A">
      <w:pPr>
        <w:pStyle w:val="Standard"/>
        <w:widowControl/>
        <w:spacing w:line="480" w:lineRule="exact"/>
        <w:ind w:left="2408" w:hanging="1928"/>
        <w:jc w:val="both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二、執行單位：國立</w:t>
      </w:r>
      <w:proofErr w:type="gramStart"/>
      <w:r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kern w:val="0"/>
          <w:sz w:val="28"/>
          <w:szCs w:val="28"/>
        </w:rPr>
        <w:t>北教育大學自然科學教育學系</w:t>
      </w:r>
    </w:p>
    <w:p w:rsidR="0031608F" w:rsidRDefault="0012786A">
      <w:pPr>
        <w:pStyle w:val="Standard"/>
        <w:widowControl/>
        <w:spacing w:after="180" w:line="480" w:lineRule="exact"/>
        <w:jc w:val="both"/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伍、實施方式</w:t>
      </w:r>
    </w:p>
    <w:p w:rsidR="0031608F" w:rsidRDefault="0012786A">
      <w:pPr>
        <w:pStyle w:val="Standard"/>
        <w:widowControl/>
        <w:spacing w:line="480" w:lineRule="exact"/>
        <w:ind w:left="48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一、參與對象與報名方式</w:t>
      </w:r>
    </w:p>
    <w:p w:rsidR="0031608F" w:rsidRDefault="0012786A">
      <w:pPr>
        <w:pStyle w:val="Standard"/>
        <w:widowControl/>
        <w:spacing w:line="480" w:lineRule="exact"/>
        <w:ind w:left="1520" w:hanging="56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參與對象：在職教師、師資生</w:t>
      </w:r>
    </w:p>
    <w:p w:rsidR="0031608F" w:rsidRDefault="0012786A">
      <w:pPr>
        <w:pStyle w:val="Standard"/>
        <w:widowControl/>
        <w:spacing w:line="480" w:lineRule="exact"/>
        <w:ind w:left="1520" w:hanging="56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報名方式：</w:t>
      </w:r>
    </w:p>
    <w:p w:rsidR="0031608F" w:rsidRDefault="0012786A">
      <w:pPr>
        <w:pStyle w:val="a7"/>
        <w:widowControl/>
        <w:numPr>
          <w:ilvl w:val="0"/>
          <w:numId w:val="6"/>
        </w:numPr>
        <w:spacing w:line="480" w:lineRule="exact"/>
        <w:ind w:left="1760" w:hanging="56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大專院校教師及其他</w:t>
      </w:r>
      <w:proofErr w:type="gramStart"/>
      <w:r>
        <w:rPr>
          <w:rFonts w:ascii="Times New Roman" w:eastAsia="標楷體" w:hAnsi="Times New Roman" w:cs="Times New Roman"/>
          <w:kern w:val="0"/>
          <w:sz w:val="28"/>
          <w:szCs w:val="28"/>
        </w:rPr>
        <w:t>身分線上報名</w:t>
      </w:r>
      <w:proofErr w:type="gramEnd"/>
      <w:r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https://goo.gl/EAJBWU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1608F" w:rsidRDefault="0012786A">
      <w:pPr>
        <w:pStyle w:val="a7"/>
        <w:widowControl/>
        <w:numPr>
          <w:ilvl w:val="0"/>
          <w:numId w:val="5"/>
        </w:numPr>
        <w:spacing w:line="480" w:lineRule="exact"/>
        <w:ind w:left="1760" w:hanging="560"/>
        <w:jc w:val="both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國小在職</w:t>
      </w:r>
      <w:proofErr w:type="gramStart"/>
      <w:r>
        <w:rPr>
          <w:rFonts w:ascii="Times New Roman" w:eastAsia="標楷體" w:hAnsi="Times New Roman" w:cs="Times New Roman"/>
          <w:kern w:val="0"/>
          <w:sz w:val="28"/>
          <w:szCs w:val="28"/>
        </w:rPr>
        <w:t>教師線上報名</w:t>
      </w:r>
      <w:proofErr w:type="gramEnd"/>
      <w:r>
        <w:rPr>
          <w:rFonts w:ascii="Times New Roman" w:eastAsia="標楷體" w:hAnsi="Times New Roman" w:cs="Times New Roman"/>
          <w:kern w:val="0"/>
          <w:sz w:val="28"/>
          <w:szCs w:val="28"/>
        </w:rPr>
        <w:t>：請至【全國教師在職進修網】進行報名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網址：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http://www4.inservice.edu.tw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，課程編號：</w:t>
      </w:r>
      <w:r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2093526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1608F" w:rsidRDefault="0012786A">
      <w:pPr>
        <w:pStyle w:val="a7"/>
        <w:widowControl/>
        <w:numPr>
          <w:ilvl w:val="0"/>
          <w:numId w:val="5"/>
        </w:numPr>
        <w:spacing w:line="480" w:lineRule="exact"/>
        <w:ind w:left="1760" w:hanging="560"/>
        <w:jc w:val="both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報名截止日期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105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25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五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止。</w:t>
      </w:r>
    </w:p>
    <w:p w:rsidR="0031608F" w:rsidRDefault="0012786A">
      <w:pPr>
        <w:pStyle w:val="Standard"/>
        <w:widowControl/>
        <w:spacing w:line="480" w:lineRule="exact"/>
        <w:ind w:left="1453" w:hanging="560"/>
        <w:jc w:val="both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聯絡人：請洽承辦人孫小姐，電話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02-27321104#63465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Email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hyperlink r:id="rId7" w:history="1">
        <w:r>
          <w:rPr>
            <w:rFonts w:ascii="Times New Roman" w:eastAsia="標楷體" w:hAnsi="Times New Roman" w:cs="Times New Roman"/>
            <w:color w:val="0000FF"/>
            <w:kern w:val="0"/>
            <w:sz w:val="28"/>
            <w:szCs w:val="28"/>
            <w:u w:val="single"/>
          </w:rPr>
          <w:t>joansoun@tea.ntue.edu.tw</w:t>
        </w:r>
      </w:hyperlink>
      <w:r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1608F" w:rsidRDefault="0012786A">
      <w:pPr>
        <w:pStyle w:val="Standard"/>
        <w:widowControl/>
        <w:spacing w:line="480" w:lineRule="exact"/>
        <w:ind w:left="48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二、活動日期與內容</w:t>
      </w:r>
    </w:p>
    <w:p w:rsidR="0031608F" w:rsidRDefault="0012786A">
      <w:pPr>
        <w:pStyle w:val="Standard"/>
        <w:widowControl/>
        <w:spacing w:line="480" w:lineRule="exact"/>
        <w:ind w:left="1520" w:hanging="56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活動日期與時間：</w:t>
      </w:r>
    </w:p>
    <w:p w:rsidR="0031608F" w:rsidRDefault="0012786A">
      <w:pPr>
        <w:pStyle w:val="Standard"/>
        <w:widowControl/>
        <w:spacing w:line="480" w:lineRule="exact"/>
        <w:ind w:left="1385"/>
        <w:jc w:val="both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105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26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六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 08:30-12:30</w:t>
      </w:r>
    </w:p>
    <w:p w:rsidR="0031608F" w:rsidRDefault="0012786A">
      <w:pPr>
        <w:pStyle w:val="Standard"/>
        <w:widowControl/>
        <w:spacing w:line="480" w:lineRule="exact"/>
        <w:ind w:left="1520" w:hanging="56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活動地點：</w:t>
      </w:r>
    </w:p>
    <w:p w:rsidR="0031608F" w:rsidRDefault="0012786A">
      <w:pPr>
        <w:pStyle w:val="Standard"/>
        <w:widowControl/>
        <w:spacing w:line="480" w:lineRule="exact"/>
        <w:ind w:left="144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國立</w:t>
      </w:r>
      <w:proofErr w:type="gramStart"/>
      <w:r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kern w:val="0"/>
          <w:sz w:val="28"/>
          <w:szCs w:val="28"/>
        </w:rPr>
        <w:t>北教育大學科學館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B306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教室</w:t>
      </w:r>
    </w:p>
    <w:p w:rsidR="0031608F" w:rsidRDefault="0012786A">
      <w:pPr>
        <w:pStyle w:val="Standard"/>
        <w:widowControl/>
        <w:spacing w:line="480" w:lineRule="exact"/>
        <w:ind w:left="1520" w:hanging="56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授課講師：</w:t>
      </w:r>
    </w:p>
    <w:p w:rsidR="0031608F" w:rsidRDefault="0012786A">
      <w:pPr>
        <w:pStyle w:val="Standard"/>
        <w:widowControl/>
        <w:spacing w:line="480" w:lineRule="exact"/>
        <w:ind w:left="144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第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屆國家環境教育獎個人組特優獎得獎者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/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社團法人基隆市野鳥學會理事長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沈錦豐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先生</w:t>
      </w:r>
    </w:p>
    <w:p w:rsidR="0031608F" w:rsidRDefault="0012786A">
      <w:pPr>
        <w:pStyle w:val="Standard"/>
        <w:widowControl/>
        <w:spacing w:line="480" w:lineRule="exact"/>
        <w:ind w:left="1520" w:hanging="560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活動內容：</w:t>
      </w:r>
    </w:p>
    <w:tbl>
      <w:tblPr>
        <w:tblW w:w="4400" w:type="pct"/>
        <w:tblInd w:w="9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3"/>
        <w:gridCol w:w="6709"/>
      </w:tblGrid>
      <w:tr w:rsidR="0031608F">
        <w:tc>
          <w:tcPr>
            <w:tcW w:w="84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105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學年教育部國民小學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師資培用聯盟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自然與生活科技學習領域教學中心</w:t>
            </w:r>
          </w:p>
          <w:p w:rsidR="0031608F" w:rsidRDefault="0012786A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「從票選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基隆市蝶談蝴蝶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生態校園」活動流程表</w:t>
            </w:r>
          </w:p>
        </w:tc>
      </w:tr>
      <w:tr w:rsidR="0031608F">
        <w:trPr>
          <w:trHeight w:val="321"/>
        </w:trPr>
        <w:tc>
          <w:tcPr>
            <w:tcW w:w="1920" w:type="dxa"/>
            <w:tcBorders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pacing w:line="48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6561" w:type="dxa"/>
            <w:tcBorders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pacing w:line="48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活動內容</w:t>
            </w:r>
          </w:p>
        </w:tc>
      </w:tr>
      <w:tr w:rsidR="0031608F">
        <w:tc>
          <w:tcPr>
            <w:tcW w:w="1920" w:type="dxa"/>
            <w:tcBorders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pacing w:line="48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08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20 - 08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6561" w:type="dxa"/>
            <w:tcBorders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pacing w:line="48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報到</w:t>
            </w:r>
          </w:p>
        </w:tc>
      </w:tr>
      <w:tr w:rsidR="0031608F">
        <w:tc>
          <w:tcPr>
            <w:tcW w:w="1920" w:type="dxa"/>
            <w:tcBorders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30 - 09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6561" w:type="dxa"/>
            <w:tcBorders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pacing w:line="48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蝴蝶生態校園願景</w:t>
            </w:r>
          </w:p>
        </w:tc>
      </w:tr>
      <w:tr w:rsidR="0031608F">
        <w:tc>
          <w:tcPr>
            <w:tcW w:w="1920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szCs w:val="24"/>
              </w:rPr>
              <w:t>09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30 - 10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6561" w:type="dxa"/>
            <w:tcBorders>
              <w:top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pacing w:line="48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蝴蝶特性、觀察與紀錄</w:t>
            </w:r>
          </w:p>
        </w:tc>
      </w:tr>
      <w:tr w:rsidR="0031608F">
        <w:tc>
          <w:tcPr>
            <w:tcW w:w="1920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 xml:space="preserve"> 10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561" w:type="dxa"/>
            <w:tcBorders>
              <w:top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31608F">
        <w:tc>
          <w:tcPr>
            <w:tcW w:w="1920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10 - 11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6561" w:type="dxa"/>
            <w:tcBorders>
              <w:top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以票選基隆市蝶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為例談蝴蝶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生態校園特色</w:t>
            </w:r>
          </w:p>
        </w:tc>
      </w:tr>
      <w:tr w:rsidR="0031608F">
        <w:tc>
          <w:tcPr>
            <w:tcW w:w="1920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30 - 12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6561" w:type="dxa"/>
            <w:tcBorders>
              <w:top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8F" w:rsidRDefault="0012786A">
            <w:pPr>
              <w:pStyle w:val="Standard"/>
              <w:widowControl/>
              <w:shd w:val="clear" w:color="auto" w:fill="FFFFFF"/>
              <w:spacing w:line="480" w:lineRule="exact"/>
            </w:pPr>
            <w:r>
              <w:rPr>
                <w:rFonts w:ascii="Times New Roman" w:eastAsia="標楷體" w:hAnsi="Times New Roman" w:cs="Times New Roman"/>
                <w:szCs w:val="24"/>
              </w:rPr>
              <w:t>校園蝴蝶觀察實作</w:t>
            </w:r>
          </w:p>
        </w:tc>
      </w:tr>
    </w:tbl>
    <w:p w:rsidR="0031608F" w:rsidRDefault="0012786A">
      <w:pPr>
        <w:pStyle w:val="Standard"/>
        <w:widowControl/>
        <w:spacing w:before="180" w:after="180" w:line="480" w:lineRule="exact"/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>陸、一般規定</w:t>
      </w:r>
    </w:p>
    <w:p w:rsidR="0031608F" w:rsidRDefault="0012786A">
      <w:pPr>
        <w:pStyle w:val="Standard"/>
        <w:widowControl/>
        <w:spacing w:line="480" w:lineRule="exact"/>
        <w:ind w:left="567" w:hanging="567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一、全程參加研習活動者，核發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小時研習證明。</w:t>
      </w:r>
    </w:p>
    <w:p w:rsidR="0031608F" w:rsidRDefault="0012786A">
      <w:pPr>
        <w:pStyle w:val="Standard"/>
        <w:widowControl/>
        <w:spacing w:line="480" w:lineRule="exact"/>
        <w:ind w:left="567" w:hanging="567"/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二、本活動結束後，請於協助填寫意見回饋單，以利核發研習時數。</w:t>
      </w:r>
    </w:p>
    <w:p w:rsidR="0031608F" w:rsidRDefault="0031608F">
      <w:pPr>
        <w:pStyle w:val="Standard"/>
        <w:widowControl/>
        <w:spacing w:line="480" w:lineRule="exact"/>
      </w:pPr>
    </w:p>
    <w:sectPr w:rsidR="0031608F" w:rsidSect="006F1E01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5D6" w:rsidRDefault="00D225D6">
      <w:r>
        <w:separator/>
      </w:r>
    </w:p>
  </w:endnote>
  <w:endnote w:type="continuationSeparator" w:id="0">
    <w:p w:rsidR="00D225D6" w:rsidRDefault="00D2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.....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5D6" w:rsidRDefault="00D225D6">
      <w:r>
        <w:rPr>
          <w:color w:val="000000"/>
        </w:rPr>
        <w:separator/>
      </w:r>
    </w:p>
  </w:footnote>
  <w:footnote w:type="continuationSeparator" w:id="0">
    <w:p w:rsidR="00D225D6" w:rsidRDefault="00D22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5EA"/>
    <w:multiLevelType w:val="multilevel"/>
    <w:tmpl w:val="EE8E4D72"/>
    <w:styleLink w:val="WWNum3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9F0E36"/>
    <w:multiLevelType w:val="multilevel"/>
    <w:tmpl w:val="CE88BC76"/>
    <w:styleLink w:val="WWNum4"/>
    <w:lvl w:ilvl="0">
      <w:start w:val="1"/>
      <w:numFmt w:val="decimal"/>
      <w:lvlText w:val="%1."/>
      <w:lvlJc w:val="left"/>
      <w:pPr>
        <w:ind w:left="5400" w:hanging="720"/>
      </w:pPr>
      <w:rPr>
        <w:rFonts w:ascii="Times New Roman" w:eastAsia="標楷體" w:hAnsi="Times New Roman"/>
        <w:sz w:val="28"/>
      </w:rPr>
    </w:lvl>
    <w:lvl w:ilvl="1">
      <w:start w:val="1"/>
      <w:numFmt w:val="ideographTraditional"/>
      <w:lvlText w:val="%2、"/>
      <w:lvlJc w:val="left"/>
      <w:pPr>
        <w:ind w:left="5640" w:hanging="480"/>
      </w:pPr>
    </w:lvl>
    <w:lvl w:ilvl="2">
      <w:start w:val="1"/>
      <w:numFmt w:val="lowerRoman"/>
      <w:lvlText w:val="%3."/>
      <w:lvlJc w:val="right"/>
      <w:pPr>
        <w:ind w:left="6120" w:hanging="480"/>
      </w:pPr>
    </w:lvl>
    <w:lvl w:ilvl="3">
      <w:start w:val="1"/>
      <w:numFmt w:val="decimal"/>
      <w:lvlText w:val="%4."/>
      <w:lvlJc w:val="left"/>
      <w:pPr>
        <w:ind w:left="6600" w:hanging="480"/>
      </w:pPr>
    </w:lvl>
    <w:lvl w:ilvl="4">
      <w:start w:val="1"/>
      <w:numFmt w:val="ideographTraditional"/>
      <w:lvlText w:val="%5、"/>
      <w:lvlJc w:val="left"/>
      <w:pPr>
        <w:ind w:left="7080" w:hanging="480"/>
      </w:pPr>
    </w:lvl>
    <w:lvl w:ilvl="5">
      <w:start w:val="1"/>
      <w:numFmt w:val="lowerRoman"/>
      <w:lvlText w:val="%6."/>
      <w:lvlJc w:val="right"/>
      <w:pPr>
        <w:ind w:left="7560" w:hanging="480"/>
      </w:pPr>
    </w:lvl>
    <w:lvl w:ilvl="6">
      <w:start w:val="1"/>
      <w:numFmt w:val="decimal"/>
      <w:lvlText w:val="%7."/>
      <w:lvlJc w:val="left"/>
      <w:pPr>
        <w:ind w:left="8040" w:hanging="480"/>
      </w:pPr>
    </w:lvl>
    <w:lvl w:ilvl="7">
      <w:start w:val="1"/>
      <w:numFmt w:val="ideographTraditional"/>
      <w:lvlText w:val="%8、"/>
      <w:lvlJc w:val="left"/>
      <w:pPr>
        <w:ind w:left="8520" w:hanging="480"/>
      </w:pPr>
    </w:lvl>
    <w:lvl w:ilvl="8">
      <w:start w:val="1"/>
      <w:numFmt w:val="lowerRoman"/>
      <w:lvlText w:val="%9."/>
      <w:lvlJc w:val="right"/>
      <w:pPr>
        <w:ind w:left="9000" w:hanging="480"/>
      </w:pPr>
    </w:lvl>
  </w:abstractNum>
  <w:abstractNum w:abstractNumId="2">
    <w:nsid w:val="48AB0AD6"/>
    <w:multiLevelType w:val="multilevel"/>
    <w:tmpl w:val="C0AC0E72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402FC4"/>
    <w:multiLevelType w:val="multilevel"/>
    <w:tmpl w:val="3DB6F164"/>
    <w:styleLink w:val="WWNum2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AA3C63"/>
    <w:multiLevelType w:val="multilevel"/>
    <w:tmpl w:val="CBA2A71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608F"/>
    <w:rsid w:val="0012786A"/>
    <w:rsid w:val="0031608F"/>
    <w:rsid w:val="006F1E01"/>
    <w:rsid w:val="00D225D6"/>
    <w:rsid w:val="00DB6FC7"/>
    <w:rsid w:val="00F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1E01"/>
  </w:style>
  <w:style w:type="paragraph" w:customStyle="1" w:styleId="Heading">
    <w:name w:val="Heading"/>
    <w:basedOn w:val="Standard"/>
    <w:next w:val="Textbody"/>
    <w:rsid w:val="006F1E01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F1E01"/>
    <w:pPr>
      <w:spacing w:after="140" w:line="288" w:lineRule="auto"/>
    </w:pPr>
  </w:style>
  <w:style w:type="paragraph" w:styleId="a3">
    <w:name w:val="List"/>
    <w:basedOn w:val="Textbody"/>
    <w:rsid w:val="006F1E01"/>
    <w:rPr>
      <w:rFonts w:cs="Mangal"/>
    </w:rPr>
  </w:style>
  <w:style w:type="paragraph" w:styleId="a4">
    <w:name w:val="caption"/>
    <w:basedOn w:val="Standard"/>
    <w:rsid w:val="006F1E0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6F1E01"/>
    <w:pPr>
      <w:suppressLineNumbers/>
    </w:pPr>
    <w:rPr>
      <w:rFonts w:cs="Mangal"/>
    </w:rPr>
  </w:style>
  <w:style w:type="paragraph" w:styleId="a5">
    <w:name w:val="header"/>
    <w:basedOn w:val="Standard"/>
    <w:rsid w:val="006F1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rsid w:val="006F1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rsid w:val="006F1E01"/>
    <w:pPr>
      <w:ind w:left="480"/>
    </w:pPr>
  </w:style>
  <w:style w:type="paragraph" w:customStyle="1" w:styleId="Default">
    <w:name w:val="Default"/>
    <w:rsid w:val="006F1E01"/>
    <w:rPr>
      <w:rFonts w:ascii="標楷體....." w:eastAsia="標楷體....." w:hAnsi="標楷體....." w:cs="標楷體....."/>
      <w:color w:val="000000"/>
      <w:kern w:val="0"/>
      <w:szCs w:val="24"/>
    </w:rPr>
  </w:style>
  <w:style w:type="character" w:customStyle="1" w:styleId="Internetlink">
    <w:name w:val="Internet link"/>
    <w:basedOn w:val="a0"/>
    <w:rsid w:val="006F1E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1E01"/>
  </w:style>
  <w:style w:type="character" w:styleId="a8">
    <w:name w:val="Emphasis"/>
    <w:basedOn w:val="a0"/>
    <w:rsid w:val="006F1E01"/>
    <w:rPr>
      <w:i/>
      <w:iCs/>
    </w:rPr>
  </w:style>
  <w:style w:type="character" w:customStyle="1" w:styleId="a9">
    <w:name w:val="頁首 字元"/>
    <w:basedOn w:val="a0"/>
    <w:rsid w:val="006F1E01"/>
    <w:rPr>
      <w:sz w:val="20"/>
      <w:szCs w:val="20"/>
    </w:rPr>
  </w:style>
  <w:style w:type="character" w:customStyle="1" w:styleId="aa">
    <w:name w:val="頁尾 字元"/>
    <w:basedOn w:val="a0"/>
    <w:rsid w:val="006F1E01"/>
    <w:rPr>
      <w:sz w:val="20"/>
      <w:szCs w:val="20"/>
    </w:rPr>
  </w:style>
  <w:style w:type="character" w:styleId="ab">
    <w:name w:val="FollowedHyperlink"/>
    <w:basedOn w:val="a0"/>
    <w:rsid w:val="006F1E01"/>
    <w:rPr>
      <w:color w:val="954F72"/>
      <w:u w:val="single"/>
    </w:rPr>
  </w:style>
  <w:style w:type="character" w:customStyle="1" w:styleId="ListLabel1">
    <w:name w:val="ListLabel 1"/>
    <w:rsid w:val="006F1E01"/>
    <w:rPr>
      <w:rFonts w:ascii="Times New Roman" w:eastAsia="標楷體" w:hAnsi="Times New Roman" w:cs="Times New Roman"/>
      <w:sz w:val="28"/>
    </w:rPr>
  </w:style>
  <w:style w:type="numbering" w:customStyle="1" w:styleId="1">
    <w:name w:val="無清單1"/>
    <w:basedOn w:val="a2"/>
    <w:rsid w:val="006F1E01"/>
    <w:pPr>
      <w:numPr>
        <w:numId w:val="1"/>
      </w:numPr>
    </w:pPr>
  </w:style>
  <w:style w:type="numbering" w:customStyle="1" w:styleId="WWNum1">
    <w:name w:val="WWNum1"/>
    <w:basedOn w:val="a2"/>
    <w:rsid w:val="006F1E01"/>
    <w:pPr>
      <w:numPr>
        <w:numId w:val="2"/>
      </w:numPr>
    </w:pPr>
  </w:style>
  <w:style w:type="numbering" w:customStyle="1" w:styleId="WWNum2">
    <w:name w:val="WWNum2"/>
    <w:basedOn w:val="a2"/>
    <w:rsid w:val="006F1E01"/>
    <w:pPr>
      <w:numPr>
        <w:numId w:val="3"/>
      </w:numPr>
    </w:pPr>
  </w:style>
  <w:style w:type="numbering" w:customStyle="1" w:styleId="WWNum3">
    <w:name w:val="WWNum3"/>
    <w:basedOn w:val="a2"/>
    <w:rsid w:val="006F1E01"/>
    <w:pPr>
      <w:numPr>
        <w:numId w:val="4"/>
      </w:numPr>
    </w:pPr>
  </w:style>
  <w:style w:type="numbering" w:customStyle="1" w:styleId="WWNum4">
    <w:name w:val="WWNum4"/>
    <w:basedOn w:val="a2"/>
    <w:rsid w:val="006F1E01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soun@tea.nt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2016-10-28T06:40:00Z</cp:lastPrinted>
  <dcterms:created xsi:type="dcterms:W3CDTF">2016-11-09T02:47:00Z</dcterms:created>
  <dcterms:modified xsi:type="dcterms:W3CDTF">2016-11-09T02:47:00Z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